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9931C" w14:textId="2F2C6ACD" w:rsidR="003A1B4D" w:rsidRDefault="00655FC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27, 2026</w:t>
      </w:r>
    </w:p>
    <w:p w14:paraId="383D7123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82A2EFF" w14:textId="109A650D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655FC3">
        <w:rPr>
          <w:rFonts w:ascii="Arial" w:hAnsi="Arial" w:cs="Arial"/>
          <w:b/>
          <w:bCs/>
          <w:sz w:val="24"/>
          <w:szCs w:val="24"/>
        </w:rPr>
        <w:t>Vogtle Units 3&amp;4</w:t>
      </w:r>
    </w:p>
    <w:p w14:paraId="7559B9F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0E3FFD98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7F060F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BC5F9FD" w14:textId="672C067F" w:rsidR="003A1B4D" w:rsidRDefault="00655FC3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12</w:t>
      </w:r>
    </w:p>
    <w:p w14:paraId="48473508" w14:textId="5853A817" w:rsidR="00655FC3" w:rsidRDefault="00655FC3" w:rsidP="00655FC3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Vogtle Units 3&amp;4 Background format. Fixed the step tab for FOP Criteria (foldout background information).</w:t>
      </w:r>
    </w:p>
    <w:p w14:paraId="18BCF6DB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2456E79B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34FFFA0E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B28AF4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2D8CF2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28F998F" w14:textId="09590AEC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2A02B1A2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44654D8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D5CC87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B82E6C0" w14:textId="35DB3A3A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 w:rsidR="00655FC3">
        <w:rPr>
          <w:rFonts w:ascii="Arial" w:hAnsi="Arial" w:cs="Arial"/>
        </w:rPr>
        <w:t xml:space="preserve"> – format under development</w:t>
      </w:r>
    </w:p>
    <w:p w14:paraId="17DB411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15C29F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7C33EE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84FF628" w14:textId="3BEDE168" w:rsidR="003A1B4D" w:rsidRPr="001C10A9" w:rsidRDefault="00655FC3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 &amp; 4 data</w:t>
      </w:r>
    </w:p>
    <w:p w14:paraId="6F53779D" w14:textId="451C7E18" w:rsidR="00655FC3" w:rsidRDefault="00655FC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2EA3541E" w14:textId="706860B8" w:rsidR="003A1B4D" w:rsidRDefault="00655FC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background document for AOP-101 (AOP-101-B)</w:t>
      </w:r>
    </w:p>
    <w:p w14:paraId="2E922174" w14:textId="56D6858C" w:rsidR="00655FC3" w:rsidRDefault="00655FC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first foldout step say</w:t>
      </w:r>
      <w:r w:rsidR="00D2137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“FOP Criteria 1” </w:t>
      </w:r>
      <w:r w:rsidR="00D21374">
        <w:rPr>
          <w:rFonts w:ascii="Arial" w:hAnsi="Arial" w:cs="Arial"/>
        </w:rPr>
        <w:t>like</w:t>
      </w:r>
      <w:r>
        <w:rPr>
          <w:rFonts w:ascii="Arial" w:hAnsi="Arial" w:cs="Arial"/>
        </w:rPr>
        <w:t xml:space="preserve"> the sample below:</w:t>
      </w:r>
    </w:p>
    <w:p w14:paraId="6E0D6BB3" w14:textId="77777777" w:rsidR="00655FC3" w:rsidRDefault="00655FC3" w:rsidP="00655FC3">
      <w:pPr>
        <w:autoSpaceDE w:val="0"/>
        <w:autoSpaceDN w:val="0"/>
        <w:jc w:val="both"/>
        <w:rPr>
          <w:rFonts w:ascii="Arial" w:hAnsi="Arial" w:cs="Arial"/>
        </w:rPr>
      </w:pPr>
    </w:p>
    <w:p w14:paraId="38F2EF72" w14:textId="612CDEBD" w:rsidR="00655FC3" w:rsidRPr="00655FC3" w:rsidRDefault="00655FC3" w:rsidP="00655FC3">
      <w:pPr>
        <w:autoSpaceDE w:val="0"/>
        <w:autoSpaceDN w:val="0"/>
        <w:jc w:val="both"/>
        <w:rPr>
          <w:rFonts w:ascii="Arial" w:hAnsi="Arial" w:cs="Arial"/>
        </w:rPr>
      </w:pPr>
      <w:r w:rsidRPr="00655FC3">
        <w:rPr>
          <w:rFonts w:ascii="Arial" w:hAnsi="Arial" w:cs="Arial"/>
        </w:rPr>
        <w:drawing>
          <wp:inline distT="0" distB="0" distL="0" distR="0" wp14:anchorId="1169F2A6" wp14:editId="1A9A051A">
            <wp:extent cx="4978265" cy="1564005"/>
            <wp:effectExtent l="0" t="0" r="0" b="0"/>
            <wp:docPr id="18064562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45626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84627" cy="156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ED8D7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231970E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37CE3F5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941E8C0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08AD0D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87984D8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8EA1EAB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55FC3"/>
    <w:rsid w:val="006C7BAB"/>
    <w:rsid w:val="006D3D74"/>
    <w:rsid w:val="007A72E2"/>
    <w:rsid w:val="0083569A"/>
    <w:rsid w:val="009A6278"/>
    <w:rsid w:val="009D476B"/>
    <w:rsid w:val="00A151F9"/>
    <w:rsid w:val="00A352AB"/>
    <w:rsid w:val="00A80E10"/>
    <w:rsid w:val="00A9204E"/>
    <w:rsid w:val="00AF6840"/>
    <w:rsid w:val="00BB28FE"/>
    <w:rsid w:val="00C46379"/>
    <w:rsid w:val="00D05B6B"/>
    <w:rsid w:val="00D21374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D270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2026-02-27T14:00:00Z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