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CF064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11,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F064F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CF064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F2024-071</w:t>
      </w:r>
    </w:p>
    <w:p w:rsidR="00CF064F" w:rsidRDefault="00CF064F" w:rsidP="00CF064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new list of action verbs to the Replace Words so that they are bolded and removed THEN from Replace Words per Farley’s request.</w:t>
      </w: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F2024-072</w:t>
      </w:r>
    </w:p>
    <w:p w:rsidR="00CF064F" w:rsidRDefault="00CF064F" w:rsidP="00CF064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sub-section types </w:t>
      </w:r>
      <w:r w:rsidRPr="00CF064F">
        <w:rPr>
          <w:rFonts w:ascii="Arial" w:hAnsi="Arial" w:cs="Arial"/>
        </w:rPr>
        <w:t>"Attachment with Sub-Sections - Single Column"</w:t>
      </w:r>
      <w:r>
        <w:rPr>
          <w:rFonts w:ascii="Arial" w:hAnsi="Arial" w:cs="Arial"/>
        </w:rPr>
        <w:t xml:space="preserve"> and </w:t>
      </w:r>
      <w:r w:rsidRPr="00CF064F">
        <w:rPr>
          <w:rFonts w:ascii="Arial" w:hAnsi="Arial" w:cs="Arial"/>
        </w:rPr>
        <w:t>"Attachment with Sub-Sections - Two Columns"</w:t>
      </w:r>
      <w:r>
        <w:rPr>
          <w:rFonts w:ascii="Arial" w:hAnsi="Arial" w:cs="Arial"/>
        </w:rPr>
        <w:t xml:space="preserve"> to the </w:t>
      </w:r>
      <w:r w:rsidRPr="00CF064F">
        <w:rPr>
          <w:rFonts w:ascii="Arial" w:hAnsi="Arial" w:cs="Arial"/>
        </w:rPr>
        <w:t>"Farley EOP/AOP Format"</w:t>
      </w:r>
    </w:p>
    <w:p w:rsidR="00CF064F" w:rsidRDefault="00CF064F" w:rsidP="003A1B4D">
      <w:pPr>
        <w:autoSpaceDE w:val="0"/>
        <w:autoSpaceDN w:val="0"/>
        <w:rPr>
          <w:rFonts w:ascii="Arial" w:hAnsi="Arial" w:cs="Arial"/>
        </w:rPr>
      </w:pPr>
    </w:p>
    <w:p w:rsidR="00CF064F" w:rsidRDefault="00CF064F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F2024-073</w:t>
      </w:r>
    </w:p>
    <w:p w:rsidR="00CF064F" w:rsidRDefault="00CF064F" w:rsidP="00CF064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Changed the page number for attachment section to be numbered with the procedure and added the attachment page numbering after the attachment section number</w:t>
      </w:r>
    </w:p>
    <w:p w:rsidR="00CF064F" w:rsidRDefault="00CF064F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CF064F" w:rsidRDefault="00CF064F" w:rsidP="003A1B4D">
      <w:pPr>
        <w:autoSpaceDE w:val="0"/>
        <w:autoSpaceDN w:val="0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All formats:</w:t>
      </w:r>
    </w:p>
    <w:p w:rsidR="00CF064F" w:rsidRDefault="00CF064F" w:rsidP="00CF064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list of action verbs to the </w:t>
      </w:r>
      <w:r>
        <w:rPr>
          <w:rFonts w:ascii="Arial" w:hAnsi="Arial" w:cs="Arial"/>
        </w:rPr>
        <w:t>fo</w:t>
      </w:r>
      <w:r w:rsidR="00E54C79">
        <w:rPr>
          <w:rFonts w:ascii="Arial" w:hAnsi="Arial" w:cs="Arial"/>
        </w:rPr>
        <w:t>r</w:t>
      </w:r>
      <w:r>
        <w:rPr>
          <w:rFonts w:ascii="Arial" w:hAnsi="Arial" w:cs="Arial"/>
        </w:rPr>
        <w:t>mats</w:t>
      </w:r>
      <w:r>
        <w:rPr>
          <w:rFonts w:ascii="Arial" w:hAnsi="Arial" w:cs="Arial"/>
        </w:rPr>
        <w:t xml:space="preserve"> so that </w:t>
      </w:r>
      <w:r>
        <w:rPr>
          <w:rFonts w:ascii="Arial" w:hAnsi="Arial" w:cs="Arial"/>
        </w:rPr>
        <w:t>those words</w:t>
      </w:r>
      <w:r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 xml:space="preserve"> automatically</w:t>
      </w:r>
      <w:r>
        <w:rPr>
          <w:rFonts w:ascii="Arial" w:hAnsi="Arial" w:cs="Arial"/>
        </w:rPr>
        <w:t xml:space="preserve"> bolded and </w:t>
      </w:r>
      <w:r w:rsidR="00E21D35">
        <w:rPr>
          <w:rFonts w:ascii="Arial" w:hAnsi="Arial" w:cs="Arial"/>
        </w:rPr>
        <w:t>disabled</w:t>
      </w:r>
      <w:r>
        <w:rPr>
          <w:rFonts w:ascii="Arial" w:hAnsi="Arial" w:cs="Arial"/>
        </w:rPr>
        <w:t xml:space="preserve"> the word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>
        <w:rPr>
          <w:rFonts w:ascii="Arial" w:hAnsi="Arial" w:cs="Arial"/>
        </w:rPr>
        <w:t>THEN</w:t>
      </w:r>
      <w:r w:rsidR="00E21D35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E21D35">
        <w:rPr>
          <w:rFonts w:ascii="Arial" w:hAnsi="Arial" w:cs="Arial"/>
        </w:rPr>
        <w:t>from being automatically bolded.</w:t>
      </w:r>
    </w:p>
    <w:p w:rsidR="00CF064F" w:rsidRDefault="00CF064F" w:rsidP="00CF064F">
      <w:pPr>
        <w:autoSpaceDE w:val="0"/>
        <w:autoSpaceDN w:val="0"/>
        <w:rPr>
          <w:rFonts w:ascii="Arial" w:hAnsi="Arial" w:cs="Arial"/>
        </w:rPr>
      </w:pPr>
    </w:p>
    <w:p w:rsidR="00E21D35" w:rsidRDefault="00E21D35" w:rsidP="00CF064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Farley EOP/AOP Format</w:t>
      </w:r>
    </w:p>
    <w:p w:rsidR="00E21D35" w:rsidRDefault="00E21D35" w:rsidP="00E21D35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sub-section types </w:t>
      </w:r>
      <w:r w:rsidRPr="00CF064F">
        <w:rPr>
          <w:rFonts w:ascii="Arial" w:hAnsi="Arial" w:cs="Arial"/>
        </w:rPr>
        <w:t>"Attachment with Sub-Sections - Single Column"</w:t>
      </w:r>
      <w:r>
        <w:rPr>
          <w:rFonts w:ascii="Arial" w:hAnsi="Arial" w:cs="Arial"/>
        </w:rPr>
        <w:t xml:space="preserve"> and </w:t>
      </w:r>
      <w:r w:rsidRPr="00CF064F">
        <w:rPr>
          <w:rFonts w:ascii="Arial" w:hAnsi="Arial" w:cs="Arial"/>
        </w:rPr>
        <w:t>"Attachment with Sub-Sections - Two Columns"</w:t>
      </w:r>
      <w:r>
        <w:rPr>
          <w:rFonts w:ascii="Arial" w:hAnsi="Arial" w:cs="Arial"/>
        </w:rPr>
        <w:t xml:space="preserve"> for use with attachments that have sub-sections</w:t>
      </w:r>
    </w:p>
    <w:p w:rsidR="00E21D35" w:rsidRPr="00B4143A" w:rsidRDefault="00E21D35" w:rsidP="00CF064F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Default="006171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6171F9" w:rsidRDefault="006171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5C1F33" w:rsidRDefault="005C1F33" w:rsidP="005C1F3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Import the procedure from </w:t>
      </w:r>
      <w:r w:rsidRPr="005C1F33">
        <w:rPr>
          <w:rFonts w:ascii="Arial" w:hAnsi="Arial" w:cs="Arial"/>
        </w:rPr>
        <w:t>V:\Proms Versions\Test Version\Data to use for testing\F2024-071 - 072 -073</w:t>
      </w:r>
    </w:p>
    <w:p w:rsidR="00732B33" w:rsidRDefault="00732B33" w:rsidP="005C1F3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pagination for Attachment 1 is set to “Separate”</w:t>
      </w:r>
    </w:p>
    <w:p w:rsid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732B33" w:rsidRDefault="00732B33" w:rsidP="00732B33">
      <w:pPr>
        <w:autoSpaceDE w:val="0"/>
        <w:autoSpaceDN w:val="0"/>
        <w:jc w:val="center"/>
        <w:rPr>
          <w:rFonts w:ascii="Arial" w:hAnsi="Arial" w:cs="Arial"/>
        </w:rPr>
      </w:pPr>
      <w:r w:rsidRPr="00732B33">
        <w:rPr>
          <w:rFonts w:ascii="Arial" w:hAnsi="Arial" w:cs="Arial"/>
        </w:rPr>
        <w:lastRenderedPageBreak/>
        <w:drawing>
          <wp:inline distT="0" distB="0" distL="0" distR="0" wp14:anchorId="2A8581E9" wp14:editId="52551430">
            <wp:extent cx="4057650" cy="2371095"/>
            <wp:effectExtent l="0" t="0" r="0" b="0"/>
            <wp:docPr id="1593656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65686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9421" cy="2383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B33" w:rsidRP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732B33" w:rsidRDefault="00732B33" w:rsidP="005C1F3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Purpose, Symptoms or Entry, and Operational Concerns sub-sections in Attachment 1 are set to “Attachment with Sub-Sections  - Single Column and the pagination is set to “Continuous”</w:t>
      </w:r>
    </w:p>
    <w:p w:rsid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732B33" w:rsidRDefault="00732B33" w:rsidP="00732B33">
      <w:pPr>
        <w:autoSpaceDE w:val="0"/>
        <w:autoSpaceDN w:val="0"/>
        <w:jc w:val="center"/>
        <w:rPr>
          <w:rFonts w:ascii="Arial" w:hAnsi="Arial" w:cs="Arial"/>
        </w:rPr>
      </w:pPr>
      <w:r w:rsidRPr="00732B33">
        <w:rPr>
          <w:rFonts w:ascii="Arial" w:hAnsi="Arial" w:cs="Arial"/>
        </w:rPr>
        <w:drawing>
          <wp:inline distT="0" distB="0" distL="0" distR="0" wp14:anchorId="1F653030" wp14:editId="513C9A4A">
            <wp:extent cx="3857625" cy="2244923"/>
            <wp:effectExtent l="0" t="0" r="0" b="3175"/>
            <wp:docPr id="1449482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4824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5250" cy="224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B33" w:rsidRP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732B33" w:rsidRDefault="00732B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Procedure Steps sub-section in Attachment 1 is set to “Attachment with Sub-Sections – Two Columns” and the pagination is set to “Separate”</w:t>
      </w:r>
    </w:p>
    <w:p w:rsid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732B33" w:rsidRDefault="00732B33" w:rsidP="00732B33">
      <w:pPr>
        <w:autoSpaceDE w:val="0"/>
        <w:autoSpaceDN w:val="0"/>
        <w:jc w:val="center"/>
        <w:rPr>
          <w:rFonts w:ascii="Arial" w:hAnsi="Arial" w:cs="Arial"/>
        </w:rPr>
      </w:pPr>
      <w:r w:rsidRPr="00732B33">
        <w:rPr>
          <w:rFonts w:ascii="Arial" w:hAnsi="Arial" w:cs="Arial"/>
        </w:rPr>
        <w:drawing>
          <wp:inline distT="0" distB="0" distL="0" distR="0" wp14:anchorId="5B69DC4F" wp14:editId="42E069BE">
            <wp:extent cx="3886200" cy="2271988"/>
            <wp:effectExtent l="0" t="0" r="0" b="0"/>
            <wp:docPr id="1081898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980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1954" cy="228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B33" w:rsidRPr="00732B33" w:rsidRDefault="00732B33" w:rsidP="00732B33">
      <w:pPr>
        <w:autoSpaceDE w:val="0"/>
        <w:autoSpaceDN w:val="0"/>
        <w:jc w:val="both"/>
        <w:rPr>
          <w:rFonts w:ascii="Arial" w:hAnsi="Arial" w:cs="Arial"/>
        </w:rPr>
      </w:pPr>
    </w:p>
    <w:p w:rsidR="006171F9" w:rsidRDefault="002552A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that procedure</w:t>
      </w:r>
      <w:r w:rsidR="00E54C79">
        <w:rPr>
          <w:rFonts w:ascii="Arial" w:hAnsi="Arial" w:cs="Arial"/>
        </w:rPr>
        <w:t xml:space="preserve"> and verify “perform” “Trip” and “GO TO” are bolded on the first page of the procedure steps section</w:t>
      </w:r>
    </w:p>
    <w:p w:rsidR="00E54C79" w:rsidRDefault="00E54C79" w:rsidP="00E54C79">
      <w:pPr>
        <w:autoSpaceDE w:val="0"/>
        <w:autoSpaceDN w:val="0"/>
        <w:jc w:val="both"/>
        <w:rPr>
          <w:rFonts w:ascii="Arial" w:hAnsi="Arial" w:cs="Arial"/>
        </w:rPr>
      </w:pPr>
    </w:p>
    <w:p w:rsidR="00E54C79" w:rsidRDefault="00E54C79" w:rsidP="00E54C79">
      <w:pPr>
        <w:autoSpaceDE w:val="0"/>
        <w:autoSpaceDN w:val="0"/>
        <w:jc w:val="center"/>
        <w:rPr>
          <w:rFonts w:ascii="Arial" w:hAnsi="Arial" w:cs="Arial"/>
        </w:rPr>
      </w:pPr>
      <w:r w:rsidRPr="00E54C79">
        <w:rPr>
          <w:rFonts w:ascii="Arial" w:hAnsi="Arial" w:cs="Arial"/>
        </w:rPr>
        <w:lastRenderedPageBreak/>
        <w:drawing>
          <wp:inline distT="0" distB="0" distL="0" distR="0" wp14:anchorId="49749D31" wp14:editId="57286389">
            <wp:extent cx="4400550" cy="5927271"/>
            <wp:effectExtent l="0" t="0" r="0" b="0"/>
            <wp:docPr id="1192853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8538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0655" cy="594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C79" w:rsidRDefault="00E54C79" w:rsidP="00E54C79">
      <w:pPr>
        <w:autoSpaceDE w:val="0"/>
        <w:autoSpaceDN w:val="0"/>
        <w:jc w:val="both"/>
        <w:rPr>
          <w:rFonts w:ascii="Arial" w:hAnsi="Arial" w:cs="Arial"/>
        </w:rPr>
      </w:pPr>
    </w:p>
    <w:p w:rsidR="00E54C79" w:rsidRDefault="00E54C79" w:rsidP="00E54C79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Attachment 1 has the attachment page number next to the section number and the procedure page number is at the bottom of the page and the attachment as a whole is numbered with the procedure</w:t>
      </w:r>
    </w:p>
    <w:p w:rsidR="00E54C79" w:rsidRDefault="00E54C79" w:rsidP="00E54C79">
      <w:pPr>
        <w:autoSpaceDE w:val="0"/>
        <w:autoSpaceDN w:val="0"/>
        <w:jc w:val="both"/>
        <w:rPr>
          <w:rFonts w:ascii="Arial" w:hAnsi="Arial" w:cs="Arial"/>
        </w:rPr>
      </w:pPr>
    </w:p>
    <w:p w:rsidR="00E54C79" w:rsidRPr="00E54C79" w:rsidRDefault="00E54C79" w:rsidP="00E54C79">
      <w:pPr>
        <w:autoSpaceDE w:val="0"/>
        <w:autoSpaceDN w:val="0"/>
        <w:jc w:val="center"/>
        <w:rPr>
          <w:rFonts w:ascii="Arial" w:hAnsi="Arial" w:cs="Arial"/>
        </w:rPr>
      </w:pPr>
      <w:r w:rsidRPr="00E54C79">
        <w:rPr>
          <w:rFonts w:ascii="Arial" w:hAnsi="Arial" w:cs="Arial"/>
        </w:rPr>
        <w:lastRenderedPageBreak/>
        <w:drawing>
          <wp:inline distT="0" distB="0" distL="0" distR="0" wp14:anchorId="15323C84" wp14:editId="1AD60476">
            <wp:extent cx="4171950" cy="5489728"/>
            <wp:effectExtent l="0" t="0" r="0" b="0"/>
            <wp:docPr id="673302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30253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74681" cy="549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B6E0E46"/>
    <w:multiLevelType w:val="hybridMultilevel"/>
    <w:tmpl w:val="89481BB6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6778835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A2C2D"/>
    <w:rsid w:val="001C10A9"/>
    <w:rsid w:val="002552A6"/>
    <w:rsid w:val="002733EA"/>
    <w:rsid w:val="00315EEE"/>
    <w:rsid w:val="003A1B4D"/>
    <w:rsid w:val="004F43F9"/>
    <w:rsid w:val="005819AF"/>
    <w:rsid w:val="005C1F33"/>
    <w:rsid w:val="006171F9"/>
    <w:rsid w:val="00645252"/>
    <w:rsid w:val="006C7BAB"/>
    <w:rsid w:val="006D3D74"/>
    <w:rsid w:val="00732B33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CF064F"/>
    <w:rsid w:val="00D05B6B"/>
    <w:rsid w:val="00D90415"/>
    <w:rsid w:val="00DC65E7"/>
    <w:rsid w:val="00E21D35"/>
    <w:rsid w:val="00E54C7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731D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279</TotalTime>
  <Pages>4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16</cp:revision>
  <dcterms:created xsi:type="dcterms:W3CDTF">2024-05-24T18:18:00Z</dcterms:created>
  <dcterms:modified xsi:type="dcterms:W3CDTF">2024-09-11T18:10:00Z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