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C5549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26,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55495">
        <w:rPr>
          <w:rFonts w:ascii="Arial" w:hAnsi="Arial" w:cs="Arial"/>
          <w:b/>
          <w:bCs/>
          <w:sz w:val="24"/>
          <w:szCs w:val="24"/>
        </w:rPr>
        <w:t>Harris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C55495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F2025-016</w:t>
      </w:r>
    </w:p>
    <w:p w:rsidR="001C10A9" w:rsidRDefault="00C55495" w:rsidP="00C55495">
      <w:pPr>
        <w:autoSpaceDE w:val="0"/>
        <w:autoSpaceDN w:val="0"/>
        <w:ind w:left="360"/>
        <w:rPr>
          <w:rFonts w:ascii="Arial" w:hAnsi="Arial" w:cs="Arial"/>
        </w:rPr>
      </w:pPr>
      <w:r w:rsidRPr="00C55495">
        <w:rPr>
          <w:rFonts w:ascii="Arial" w:hAnsi="Arial" w:cs="Arial"/>
        </w:rPr>
        <w:t>In the EOPs SHE/SHEA format</w:t>
      </w:r>
      <w:r>
        <w:rPr>
          <w:rFonts w:ascii="Arial" w:hAnsi="Arial" w:cs="Arial"/>
        </w:rPr>
        <w:t>s</w:t>
      </w:r>
      <w:r w:rsidRPr="00C5549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fixed </w:t>
      </w:r>
      <w:r w:rsidRPr="00C55495">
        <w:rPr>
          <w:rFonts w:ascii="Arial" w:hAnsi="Arial" w:cs="Arial"/>
        </w:rPr>
        <w:t xml:space="preserve">the Open Bullet with Blank Line "o" designator </w:t>
      </w:r>
      <w:r>
        <w:rPr>
          <w:rFonts w:ascii="Arial" w:hAnsi="Arial" w:cs="Arial"/>
        </w:rPr>
        <w:t>to use</w:t>
      </w:r>
      <w:r w:rsidRPr="00C55495">
        <w:rPr>
          <w:rFonts w:ascii="Arial" w:hAnsi="Arial" w:cs="Arial"/>
        </w:rPr>
        <w:t xml:space="preserve"> the </w:t>
      </w:r>
      <w:proofErr w:type="spellStart"/>
      <w:r w:rsidRPr="00C55495">
        <w:rPr>
          <w:rFonts w:ascii="Arial" w:hAnsi="Arial" w:cs="Arial"/>
        </w:rPr>
        <w:t>greek</w:t>
      </w:r>
      <w:proofErr w:type="spellEnd"/>
      <w:r w:rsidRPr="00C55495">
        <w:rPr>
          <w:rFonts w:ascii="Arial" w:hAnsi="Arial" w:cs="Arial"/>
        </w:rPr>
        <w:t xml:space="preserve"> "o" </w:t>
      </w:r>
      <w:r>
        <w:rPr>
          <w:rFonts w:ascii="Arial" w:hAnsi="Arial" w:cs="Arial"/>
        </w:rPr>
        <w:t xml:space="preserve">lower cased omicron </w:t>
      </w:r>
      <w:r w:rsidRPr="00C55495">
        <w:rPr>
          <w:rFonts w:ascii="Arial" w:hAnsi="Arial" w:cs="Arial"/>
        </w:rPr>
        <w:t>symbol</w:t>
      </w:r>
    </w:p>
    <w:p w:rsidR="00C55495" w:rsidRDefault="00C55495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55495"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C5549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during testing of requested format change. Customer does not have this new step type yet.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C55495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Harris data</w:t>
      </w:r>
    </w:p>
    <w:p w:rsidR="003A1B4D" w:rsidRDefault="00C5549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C55495" w:rsidRDefault="00C5549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two groupings of Open Bullet sub-step types in a caution or note, one grouping use the Open Bullet List, the other grouping using Open Bullet List with Blank Line.</w:t>
      </w:r>
    </w:p>
    <w:p w:rsidR="00C55495" w:rsidRDefault="00C5549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and Verity the open bullet tabs look the same (using the omicron symbol) as in the sample screenshot below.</w:t>
      </w:r>
    </w:p>
    <w:p w:rsidR="00C55495" w:rsidRDefault="00C55495" w:rsidP="00C5549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C55495" w:rsidRDefault="00C55495" w:rsidP="00C5549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C55495">
        <w:rPr>
          <w:rFonts w:ascii="Arial" w:hAnsi="Arial" w:cs="Arial"/>
        </w:rPr>
        <w:drawing>
          <wp:inline distT="0" distB="0" distL="0" distR="0" wp14:anchorId="30A3150A" wp14:editId="50F8B57E">
            <wp:extent cx="5991225" cy="3142619"/>
            <wp:effectExtent l="0" t="0" r="0" b="635"/>
            <wp:docPr id="3878429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8429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2680" cy="3143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C55495"/>
    <w:rsid w:val="00C72ABD"/>
    <w:rsid w:val="00D05B6B"/>
    <w:rsid w:val="00D90415"/>
    <w:rsid w:val="00DC65E7"/>
    <w:rsid w:val="00F479E4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3341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2025-06-26T20:07:00Z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