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880D5E0" w:rsidR="003A1B4D" w:rsidRDefault="00904C3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1</w:t>
      </w:r>
      <w:r w:rsidR="00FB6B7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4EB474A" w14:textId="0154C3DE" w:rsidR="00904C34" w:rsidRDefault="00904C3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904C34">
        <w:rPr>
          <w:rFonts w:ascii="Arial" w:hAnsi="Arial" w:cs="Arial"/>
        </w:rPr>
        <w:t>B2024-0</w:t>
      </w:r>
      <w:r w:rsidR="00FB6B7D">
        <w:rPr>
          <w:rFonts w:ascii="Arial" w:hAnsi="Arial" w:cs="Arial"/>
        </w:rPr>
        <w:t>70</w:t>
      </w:r>
      <w:r w:rsidRPr="00904C34">
        <w:rPr>
          <w:rFonts w:ascii="Arial" w:hAnsi="Arial" w:cs="Arial"/>
        </w:rPr>
        <w:t xml:space="preserve"> </w:t>
      </w:r>
    </w:p>
    <w:p w14:paraId="54F15791" w14:textId="6306C396" w:rsidR="00904C34" w:rsidRDefault="00904C34" w:rsidP="003A1B4D">
      <w:pPr>
        <w:autoSpaceDE w:val="0"/>
        <w:autoSpaceDN w:val="0"/>
        <w:rPr>
          <w:rFonts w:ascii="Arial" w:hAnsi="Arial" w:cs="Arial"/>
        </w:rPr>
      </w:pPr>
      <w:r w:rsidRPr="00904C34">
        <w:rPr>
          <w:rFonts w:ascii="Arial" w:hAnsi="Arial" w:cs="Arial"/>
        </w:rPr>
        <w:t>B2024-0</w:t>
      </w:r>
      <w:r w:rsidR="00FB6B7D">
        <w:rPr>
          <w:rFonts w:ascii="Arial" w:hAnsi="Arial" w:cs="Arial"/>
        </w:rPr>
        <w:t>72</w:t>
      </w:r>
    </w:p>
    <w:p w14:paraId="5FBEE65D" w14:textId="01B84B51" w:rsidR="00904C34" w:rsidRDefault="00904C34" w:rsidP="00FB6B7D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FB6B7D">
        <w:rPr>
          <w:rFonts w:ascii="Arial" w:hAnsi="Arial" w:cs="Arial"/>
        </w:rPr>
        <w:t>orrect typos in ancillary text.</w:t>
      </w:r>
    </w:p>
    <w:p w14:paraId="46867FCD" w14:textId="77777777" w:rsidR="00FB6B7D" w:rsidRDefault="00FB6B7D" w:rsidP="00FB6B7D">
      <w:pPr>
        <w:autoSpaceDE w:val="0"/>
        <w:autoSpaceDN w:val="0"/>
        <w:ind w:firstLine="360"/>
        <w:rPr>
          <w:rFonts w:ascii="Arial" w:hAnsi="Arial" w:cs="Arial"/>
        </w:rPr>
      </w:pPr>
    </w:p>
    <w:p w14:paraId="02E0FDA9" w14:textId="4DD78A33" w:rsidR="00FB6B7D" w:rsidRPr="00FB6B7D" w:rsidRDefault="00FB6B7D" w:rsidP="00FB6B7D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FB6B7D">
        <w:rPr>
          <w:rFonts w:ascii="Arial" w:hAnsi="Arial" w:cs="Arial"/>
        </w:rPr>
        <w:t>"Sort by Setpoint ID", select the Tools Toolbar -&gt; Reports -&gt; and under the Referenced Objects header select either Complete or Summary.</w:t>
      </w:r>
    </w:p>
    <w:p w14:paraId="0C6FE0D0" w14:textId="77777777" w:rsidR="00FB6B7D" w:rsidRPr="00FB6B7D" w:rsidRDefault="00FB6B7D" w:rsidP="00FB6B7D">
      <w:pPr>
        <w:autoSpaceDE w:val="0"/>
        <w:autoSpaceDN w:val="0"/>
        <w:ind w:firstLine="360"/>
        <w:rPr>
          <w:rFonts w:ascii="Arial" w:hAnsi="Arial" w:cs="Arial"/>
        </w:rPr>
      </w:pPr>
    </w:p>
    <w:p w14:paraId="60323E84" w14:textId="25A0D31C" w:rsidR="00FB6B7D" w:rsidRDefault="00FB6B7D" w:rsidP="00FB6B7D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FB6B7D">
        <w:rPr>
          <w:rFonts w:ascii="Arial" w:hAnsi="Arial" w:cs="Arial"/>
        </w:rPr>
        <w:t xml:space="preserve">"Select Category of Transitions", select the Tools Toolbar -&gt; Search -&gt; Transitions </w:t>
      </w:r>
    </w:p>
    <w:p w14:paraId="532EEF74" w14:textId="77777777" w:rsidR="00FB6B7D" w:rsidRPr="00FB6B7D" w:rsidRDefault="00FB6B7D" w:rsidP="00FB6B7D">
      <w:pPr>
        <w:pStyle w:val="ListParagraph"/>
        <w:rPr>
          <w:rFonts w:ascii="Arial" w:hAnsi="Arial" w:cs="Arial"/>
        </w:rPr>
      </w:pPr>
    </w:p>
    <w:p w14:paraId="4918B044" w14:textId="208D095F" w:rsidR="00FB6B7D" w:rsidRPr="00FB6B7D" w:rsidRDefault="00FB6B7D" w:rsidP="00FB6B7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Note that manual will also need updated screenshots to reflect these changes.</w:t>
      </w:r>
    </w:p>
    <w:p w14:paraId="620179DF" w14:textId="77777777" w:rsidR="00904C34" w:rsidRDefault="00904C34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DA1206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66D8DD8" w14:textId="32DC4DB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B6B7D">
        <w:rPr>
          <w:rFonts w:ascii="Arial" w:hAnsi="Arial" w:cs="Arial"/>
        </w:rPr>
        <w:t xml:space="preserve">Clarified wording in </w:t>
      </w:r>
      <w:r w:rsidR="00B06CEF">
        <w:rPr>
          <w:rFonts w:ascii="Arial" w:hAnsi="Arial" w:cs="Arial"/>
        </w:rPr>
        <w:t xml:space="preserve">PROMS </w:t>
      </w:r>
      <w:r w:rsidR="00FB6B7D">
        <w:rPr>
          <w:rFonts w:ascii="Arial" w:hAnsi="Arial" w:cs="Arial"/>
        </w:rPr>
        <w:t xml:space="preserve">related to </w:t>
      </w:r>
      <w:r w:rsidR="003B17D1">
        <w:rPr>
          <w:rFonts w:ascii="Arial" w:hAnsi="Arial" w:cs="Arial"/>
        </w:rPr>
        <w:t>s</w:t>
      </w:r>
      <w:r w:rsidR="00FB6B7D">
        <w:rPr>
          <w:rFonts w:ascii="Arial" w:hAnsi="Arial" w:cs="Arial"/>
        </w:rPr>
        <w:t xml:space="preserve">orting </w:t>
      </w:r>
      <w:r w:rsidR="003B17D1">
        <w:rPr>
          <w:rFonts w:ascii="Arial" w:hAnsi="Arial" w:cs="Arial"/>
        </w:rPr>
        <w:t>r</w:t>
      </w:r>
      <w:r w:rsidR="00FB6B7D">
        <w:rPr>
          <w:rFonts w:ascii="Arial" w:hAnsi="Arial" w:cs="Arial"/>
        </w:rPr>
        <w:t xml:space="preserve">eports by Setpoint ID, and </w:t>
      </w:r>
      <w:r w:rsidR="003B17D1">
        <w:rPr>
          <w:rFonts w:ascii="Arial" w:hAnsi="Arial" w:cs="Arial"/>
        </w:rPr>
        <w:t>s</w:t>
      </w:r>
      <w:r w:rsidR="00FB6B7D">
        <w:rPr>
          <w:rFonts w:ascii="Arial" w:hAnsi="Arial" w:cs="Arial"/>
        </w:rPr>
        <w:t xml:space="preserve">electing </w:t>
      </w:r>
      <w:r w:rsidR="003B17D1">
        <w:rPr>
          <w:rFonts w:ascii="Arial" w:hAnsi="Arial" w:cs="Arial"/>
        </w:rPr>
        <w:t>c</w:t>
      </w:r>
      <w:r w:rsidR="00FB6B7D">
        <w:rPr>
          <w:rFonts w:ascii="Arial" w:hAnsi="Arial" w:cs="Arial"/>
        </w:rPr>
        <w:t xml:space="preserve">ategories of </w:t>
      </w:r>
      <w:r w:rsidR="003B17D1">
        <w:rPr>
          <w:rFonts w:ascii="Arial" w:hAnsi="Arial" w:cs="Arial"/>
        </w:rPr>
        <w:t>t</w:t>
      </w:r>
      <w:r w:rsidR="00FB6B7D">
        <w:rPr>
          <w:rFonts w:ascii="Arial" w:hAnsi="Arial" w:cs="Arial"/>
        </w:rPr>
        <w:t xml:space="preserve">ransitions when </w:t>
      </w:r>
      <w:r w:rsidR="003B17D1">
        <w:rPr>
          <w:rFonts w:ascii="Arial" w:hAnsi="Arial" w:cs="Arial"/>
        </w:rPr>
        <w:t>s</w:t>
      </w:r>
      <w:r w:rsidR="00FB6B7D">
        <w:rPr>
          <w:rFonts w:ascii="Arial" w:hAnsi="Arial" w:cs="Arial"/>
        </w:rPr>
        <w:t xml:space="preserve">earching </w:t>
      </w:r>
      <w:r w:rsidR="003B17D1">
        <w:rPr>
          <w:rFonts w:ascii="Arial" w:hAnsi="Arial" w:cs="Arial"/>
        </w:rPr>
        <w:t>t</w:t>
      </w:r>
      <w:r w:rsidR="00FB6B7D">
        <w:rPr>
          <w:rFonts w:ascii="Arial" w:hAnsi="Arial" w:cs="Arial"/>
        </w:rPr>
        <w:t>ransitions</w:t>
      </w:r>
      <w:r w:rsidR="00B06CEF">
        <w:rPr>
          <w:rFonts w:ascii="Arial" w:hAnsi="Arial" w:cs="Arial"/>
        </w:rPr>
        <w:t>.</w:t>
      </w:r>
    </w:p>
    <w:p w14:paraId="53E76C8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03ABDA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41076A14" w:rsidR="003A1B4D" w:rsidRDefault="00C966A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plants database</w:t>
      </w:r>
    </w:p>
    <w:p w14:paraId="6655694D" w14:textId="2121BD52" w:rsidR="00FB6B7D" w:rsidRDefault="00C966AC" w:rsidP="00FB6B7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</w:t>
      </w:r>
      <w:r w:rsidR="00FB6B7D" w:rsidRPr="00FB6B7D">
        <w:rPr>
          <w:rFonts w:ascii="Arial" w:hAnsi="Arial" w:cs="Arial"/>
        </w:rPr>
        <w:t>the Tools Toolbar -&gt; Reports -&gt; and under the Referenced Objects header select either Complete or Summary.</w:t>
      </w:r>
    </w:p>
    <w:p w14:paraId="1A48F326" w14:textId="7241A153" w:rsidR="00FB6B7D" w:rsidRPr="00FB6B7D" w:rsidRDefault="00FB6B7D" w:rsidP="00FB6B7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Wording should read “</w:t>
      </w:r>
      <w:r w:rsidRPr="00FB6B7D">
        <w:rPr>
          <w:rFonts w:ascii="Arial" w:hAnsi="Arial" w:cs="Arial"/>
        </w:rPr>
        <w:t>Sort by Setpoint ID</w:t>
      </w:r>
      <w:r>
        <w:rPr>
          <w:rFonts w:ascii="Arial" w:hAnsi="Arial" w:cs="Arial"/>
        </w:rPr>
        <w:t>”</w:t>
      </w:r>
    </w:p>
    <w:p w14:paraId="02012EB6" w14:textId="2CE9D79C" w:rsidR="008F221B" w:rsidRDefault="005E2A74" w:rsidP="008F221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EB65ABF" wp14:editId="26F08416">
            <wp:extent cx="3395207" cy="3186250"/>
            <wp:effectExtent l="0" t="0" r="0" b="0"/>
            <wp:docPr id="2132930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66" cy="320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80B1F" w14:textId="0E5F87FF" w:rsidR="008F221B" w:rsidRDefault="008F221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1F0EC0D" w14:textId="77777777" w:rsidR="008F221B" w:rsidRDefault="008F221B" w:rsidP="008F221B">
      <w:pPr>
        <w:autoSpaceDE w:val="0"/>
        <w:autoSpaceDN w:val="0"/>
        <w:jc w:val="both"/>
        <w:rPr>
          <w:rFonts w:ascii="Arial" w:hAnsi="Arial" w:cs="Arial"/>
        </w:rPr>
      </w:pPr>
    </w:p>
    <w:p w14:paraId="1A74974F" w14:textId="77777777" w:rsidR="008F221B" w:rsidRDefault="008F221B" w:rsidP="008F221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17B3BDA" w14:textId="75A85965" w:rsidR="00FB6B7D" w:rsidRDefault="00FB6B7D" w:rsidP="00FB6B7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</w:t>
      </w:r>
      <w:r w:rsidR="005A16ED">
        <w:rPr>
          <w:rFonts w:ascii="Arial" w:hAnsi="Arial" w:cs="Arial"/>
        </w:rPr>
        <w:t xml:space="preserve">any procedure, then Select </w:t>
      </w:r>
      <w:r w:rsidRPr="00FB6B7D">
        <w:rPr>
          <w:rFonts w:ascii="Arial" w:hAnsi="Arial" w:cs="Arial"/>
        </w:rPr>
        <w:t>the Tools Toolbar -&gt; Search -&gt; Transitions</w:t>
      </w:r>
    </w:p>
    <w:p w14:paraId="7FB40138" w14:textId="19EEAD94" w:rsidR="00FB6B7D" w:rsidRPr="00FB6B7D" w:rsidRDefault="00FB6B7D" w:rsidP="00FB6B7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Wording should read “</w:t>
      </w:r>
      <w:r w:rsidRPr="00FB6B7D">
        <w:rPr>
          <w:rFonts w:ascii="Arial" w:hAnsi="Arial" w:cs="Arial"/>
        </w:rPr>
        <w:t>Select Category of Transitions</w:t>
      </w:r>
      <w:r>
        <w:rPr>
          <w:rFonts w:ascii="Arial" w:hAnsi="Arial" w:cs="Arial"/>
        </w:rPr>
        <w:t>”</w:t>
      </w:r>
    </w:p>
    <w:p w14:paraId="05DD60D5" w14:textId="3F67B00E" w:rsidR="008F221B" w:rsidRDefault="005A16ED" w:rsidP="00FB6B7D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0D15893" wp14:editId="026031EB">
            <wp:extent cx="6854190" cy="3665855"/>
            <wp:effectExtent l="0" t="0" r="3810" b="0"/>
            <wp:docPr id="4090672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368050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4248408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95480"/>
    <w:rsid w:val="0017042B"/>
    <w:rsid w:val="001C10A9"/>
    <w:rsid w:val="002733EA"/>
    <w:rsid w:val="00315EEE"/>
    <w:rsid w:val="003A1B4D"/>
    <w:rsid w:val="003B17D1"/>
    <w:rsid w:val="004A2403"/>
    <w:rsid w:val="004F43F9"/>
    <w:rsid w:val="005819AF"/>
    <w:rsid w:val="005A16ED"/>
    <w:rsid w:val="005E2A74"/>
    <w:rsid w:val="00645252"/>
    <w:rsid w:val="006C7BAB"/>
    <w:rsid w:val="006D3D74"/>
    <w:rsid w:val="007A72E2"/>
    <w:rsid w:val="007B4501"/>
    <w:rsid w:val="0083569A"/>
    <w:rsid w:val="008F221B"/>
    <w:rsid w:val="00904C34"/>
    <w:rsid w:val="009A6278"/>
    <w:rsid w:val="009D368F"/>
    <w:rsid w:val="009D476B"/>
    <w:rsid w:val="00A151F9"/>
    <w:rsid w:val="00A80E10"/>
    <w:rsid w:val="00A9204E"/>
    <w:rsid w:val="00AF6840"/>
    <w:rsid w:val="00B06CEF"/>
    <w:rsid w:val="00BB28FE"/>
    <w:rsid w:val="00C46379"/>
    <w:rsid w:val="00C966AC"/>
    <w:rsid w:val="00D05B6B"/>
    <w:rsid w:val="00D90415"/>
    <w:rsid w:val="00DC65E7"/>
    <w:rsid w:val="00E863B9"/>
    <w:rsid w:val="00EB32D4"/>
    <w:rsid w:val="00F81A53"/>
    <w:rsid w:val="00FB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138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22</cp:revision>
  <dcterms:created xsi:type="dcterms:W3CDTF">2024-05-24T18:18:00Z</dcterms:created>
  <dcterms:modified xsi:type="dcterms:W3CDTF">2024-09-16T15:47:00Z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