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A1B4D" w:rsidRDefault="001A2710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May 22, 2025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C3568A">
        <w:rPr>
          <w:rFonts w:ascii="Arial" w:hAnsi="Arial" w:cs="Arial"/>
          <w:b/>
          <w:bCs/>
          <w:sz w:val="24"/>
          <w:szCs w:val="24"/>
        </w:rPr>
        <w:t>Barakah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3A1B4D" w:rsidRDefault="00C3568A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F2024-089</w:t>
      </w:r>
    </w:p>
    <w:p w:rsidR="001C10A9" w:rsidRDefault="00C3568A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Barakah requested a newly formatted Cover page section style</w:t>
      </w:r>
      <w:r w:rsidR="001A2710">
        <w:rPr>
          <w:rFonts w:ascii="Arial" w:hAnsi="Arial" w:cs="Arial"/>
        </w:rPr>
        <w:t xml:space="preserve"> to make room for</w:t>
      </w:r>
      <w:r>
        <w:rPr>
          <w:rFonts w:ascii="Arial" w:hAnsi="Arial" w:cs="Arial"/>
        </w:rPr>
        <w:t xml:space="preserve"> new Corporate Log</w:t>
      </w:r>
      <w:r w:rsidR="001A2710">
        <w:rPr>
          <w:rFonts w:ascii="Arial" w:hAnsi="Arial" w:cs="Arial"/>
        </w:rPr>
        <w:t>o.  The new logo will be placed at the top/left of the page and will sit outside the big box that is drawn on the page.</w:t>
      </w:r>
    </w:p>
    <w:p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2"/>
    <w:p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C3568A">
        <w:rPr>
          <w:rFonts w:ascii="Arial" w:hAnsi="Arial" w:cs="Arial"/>
        </w:rPr>
        <w:t>N/A</w:t>
      </w:r>
    </w:p>
    <w:p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:rsidR="00C3568A" w:rsidRDefault="00C3568A" w:rsidP="00C3568A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Barakah</w:t>
      </w:r>
      <w:r w:rsidR="001A2710">
        <w:rPr>
          <w:rFonts w:ascii="Arial" w:hAnsi="Arial" w:cs="Arial"/>
        </w:rPr>
        <w:t xml:space="preserve"> formats</w:t>
      </w:r>
    </w:p>
    <w:p w:rsidR="00C3568A" w:rsidRPr="001A2710" w:rsidRDefault="00C3568A" w:rsidP="001A2710">
      <w:pPr>
        <w:pStyle w:val="ListParagraph"/>
        <w:numPr>
          <w:ilvl w:val="0"/>
          <w:numId w:val="25"/>
        </w:numPr>
        <w:autoSpaceDE w:val="0"/>
        <w:autoSpaceDN w:val="0"/>
        <w:jc w:val="both"/>
        <w:rPr>
          <w:rFonts w:ascii="Arial" w:hAnsi="Arial" w:cs="Arial"/>
        </w:rPr>
      </w:pPr>
      <w:r w:rsidRPr="001A2710">
        <w:rPr>
          <w:rFonts w:ascii="Arial" w:hAnsi="Arial" w:cs="Arial"/>
        </w:rPr>
        <w:t>The Cover Page section style was modified to allow for the new Corporate Log</w:t>
      </w:r>
      <w:r w:rsidR="001A2710" w:rsidRPr="001A2710">
        <w:rPr>
          <w:rFonts w:ascii="Arial" w:hAnsi="Arial" w:cs="Arial"/>
        </w:rPr>
        <w:t>o, per examples provided by customer.</w:t>
      </w:r>
    </w:p>
    <w:p w:rsidR="00C3568A" w:rsidRPr="001A2710" w:rsidRDefault="00C3568A" w:rsidP="001A2710">
      <w:pPr>
        <w:pStyle w:val="ListParagraph"/>
        <w:numPr>
          <w:ilvl w:val="0"/>
          <w:numId w:val="25"/>
        </w:numPr>
        <w:autoSpaceDE w:val="0"/>
        <w:autoSpaceDN w:val="0"/>
        <w:jc w:val="both"/>
        <w:rPr>
          <w:rFonts w:ascii="Arial" w:hAnsi="Arial" w:cs="Arial"/>
        </w:rPr>
      </w:pPr>
      <w:r w:rsidRPr="001A2710">
        <w:rPr>
          <w:rFonts w:ascii="Arial" w:hAnsi="Arial" w:cs="Arial"/>
        </w:rPr>
        <w:t>The Procedure Specific Information form was updated to include Child Specific information for the Cover Pages, so that one Cover Page section could be used for all Child procedures</w:t>
      </w:r>
      <w:r w:rsidR="001A2710">
        <w:rPr>
          <w:rFonts w:ascii="Arial" w:hAnsi="Arial" w:cs="Arial"/>
        </w:rPr>
        <w:t>.  This was done only for the formats that are used in Parent/Child procedure sets.</w:t>
      </w:r>
    </w:p>
    <w:p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:rsidR="00C3568A" w:rsidRPr="001C10A9" w:rsidRDefault="00C3568A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Barakah data</w:t>
      </w:r>
    </w:p>
    <w:p w:rsidR="003A1B4D" w:rsidRDefault="00C3568A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:rsidR="001A2710" w:rsidRDefault="001A2710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Local Alarm procedure [1N2]-OP-ARP-AS-0002</w:t>
      </w:r>
      <w:r w:rsidR="00CA2BF3">
        <w:rPr>
          <w:rFonts w:ascii="Arial" w:hAnsi="Arial" w:cs="Arial"/>
        </w:rPr>
        <w:t xml:space="preserve"> for unit 1</w:t>
      </w:r>
    </w:p>
    <w:p w:rsidR="001A2710" w:rsidRDefault="001A2710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</w:t>
      </w:r>
      <w:r w:rsidR="00CA2BF3">
        <w:rPr>
          <w:rFonts w:ascii="Arial" w:hAnsi="Arial" w:cs="Arial"/>
        </w:rPr>
        <w:t>at</w:t>
      </w:r>
      <w:r>
        <w:rPr>
          <w:rFonts w:ascii="Arial" w:hAnsi="Arial" w:cs="Arial"/>
        </w:rPr>
        <w:t xml:space="preserve"> their old logo prints outside the big box on the cover page</w:t>
      </w:r>
    </w:p>
    <w:p w:rsidR="001A2710" w:rsidRDefault="001A2710" w:rsidP="001A2710">
      <w:pPr>
        <w:autoSpaceDE w:val="0"/>
        <w:autoSpaceDN w:val="0"/>
        <w:jc w:val="both"/>
        <w:rPr>
          <w:rFonts w:ascii="Arial" w:hAnsi="Arial" w:cs="Arial"/>
        </w:rPr>
      </w:pPr>
    </w:p>
    <w:p w:rsidR="001A2710" w:rsidRDefault="00CA2BF3" w:rsidP="00CA2BF3">
      <w:pPr>
        <w:autoSpaceDE w:val="0"/>
        <w:autoSpaceDN w:val="0"/>
        <w:jc w:val="center"/>
        <w:rPr>
          <w:rFonts w:ascii="Arial" w:hAnsi="Arial" w:cs="Arial"/>
        </w:rPr>
      </w:pPr>
      <w:r w:rsidRPr="00CA2BF3">
        <w:rPr>
          <w:rFonts w:ascii="Arial" w:hAnsi="Arial" w:cs="Arial"/>
        </w:rPr>
        <w:drawing>
          <wp:inline distT="0" distB="0" distL="0" distR="0" wp14:anchorId="0296970F" wp14:editId="6CCADE9C">
            <wp:extent cx="4349925" cy="1999142"/>
            <wp:effectExtent l="114300" t="114300" r="127000" b="153670"/>
            <wp:docPr id="9254671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546713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78025" cy="201205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1A2710" w:rsidRPr="001A2710" w:rsidRDefault="001A2710" w:rsidP="001A2710">
      <w:pPr>
        <w:autoSpaceDE w:val="0"/>
        <w:autoSpaceDN w:val="0"/>
        <w:jc w:val="both"/>
        <w:rPr>
          <w:rFonts w:ascii="Arial" w:hAnsi="Arial" w:cs="Arial"/>
        </w:rPr>
      </w:pPr>
    </w:p>
    <w:p w:rsidR="00CA2BF3" w:rsidRDefault="00CA2BF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Print and verify the same for an EOP, AOP, Background </w:t>
      </w:r>
    </w:p>
    <w:p w:rsidR="00CA2BF3" w:rsidRDefault="00CA2BF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and verify the same for a Parent/</w:t>
      </w:r>
      <w:r w:rsidR="00A2666C">
        <w:rPr>
          <w:rFonts w:ascii="Arial" w:hAnsi="Arial" w:cs="Arial"/>
        </w:rPr>
        <w:t>Child procedure</w:t>
      </w:r>
      <w:r>
        <w:rPr>
          <w:rFonts w:ascii="Arial" w:hAnsi="Arial" w:cs="Arial"/>
        </w:rPr>
        <w:t xml:space="preserve"> that uses the Single Column format such as an IOP</w:t>
      </w:r>
      <w:r w:rsidR="00A2666C">
        <w:rPr>
          <w:rFonts w:ascii="Arial" w:hAnsi="Arial" w:cs="Arial"/>
        </w:rPr>
        <w:t>, print for Unit 1 and then one of the other three units.</w:t>
      </w:r>
    </w:p>
    <w:p w:rsidR="00C3568A" w:rsidRDefault="00A2666C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For the same Parent/Child procedure, o</w:t>
      </w:r>
      <w:r w:rsidR="00C3568A">
        <w:rPr>
          <w:rFonts w:ascii="Arial" w:hAnsi="Arial" w:cs="Arial"/>
        </w:rPr>
        <w:t>pen the Procedure Specific Information add Child information</w:t>
      </w:r>
      <w:r>
        <w:rPr>
          <w:rFonts w:ascii="Arial" w:hAnsi="Arial" w:cs="Arial"/>
        </w:rPr>
        <w:t xml:space="preserve"> for one of the other units</w:t>
      </w:r>
    </w:p>
    <w:p w:rsidR="00A2666C" w:rsidRDefault="00A2666C" w:rsidP="00A2666C">
      <w:pPr>
        <w:autoSpaceDE w:val="0"/>
        <w:autoSpaceDN w:val="0"/>
        <w:jc w:val="both"/>
        <w:rPr>
          <w:rFonts w:ascii="Arial" w:hAnsi="Arial" w:cs="Arial"/>
        </w:rPr>
      </w:pPr>
    </w:p>
    <w:p w:rsidR="00A2666C" w:rsidRDefault="000668CB" w:rsidP="00A67E0C">
      <w:pPr>
        <w:autoSpaceDE w:val="0"/>
        <w:autoSpaceDN w:val="0"/>
        <w:jc w:val="center"/>
        <w:rPr>
          <w:rFonts w:ascii="Arial" w:hAnsi="Arial" w:cs="Arial"/>
        </w:rPr>
      </w:pPr>
      <w:r w:rsidRPr="000668CB">
        <w:rPr>
          <w:rFonts w:ascii="Arial" w:hAnsi="Arial" w:cs="Arial"/>
        </w:rPr>
        <w:lastRenderedPageBreak/>
        <w:drawing>
          <wp:inline distT="0" distB="0" distL="0" distR="0" wp14:anchorId="14E6658A" wp14:editId="7EE7F83C">
            <wp:extent cx="4055878" cy="3958848"/>
            <wp:effectExtent l="133350" t="114300" r="154305" b="156210"/>
            <wp:docPr id="1389231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92315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85845" cy="398809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A2666C" w:rsidRPr="00A2666C" w:rsidRDefault="00A2666C" w:rsidP="00A2666C">
      <w:pPr>
        <w:autoSpaceDE w:val="0"/>
        <w:autoSpaceDN w:val="0"/>
        <w:jc w:val="both"/>
        <w:rPr>
          <w:rFonts w:ascii="Arial" w:hAnsi="Arial" w:cs="Arial"/>
        </w:rPr>
      </w:pPr>
    </w:p>
    <w:p w:rsidR="00C3568A" w:rsidRDefault="00C3568A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Change the Applicability on the first Cover Page section to be applicable to all children (units)</w:t>
      </w:r>
      <w:r w:rsidR="00A2666C">
        <w:rPr>
          <w:rFonts w:ascii="Arial" w:hAnsi="Arial" w:cs="Arial"/>
        </w:rPr>
        <w:t xml:space="preserve"> and set the other cover pages applicability to none</w:t>
      </w:r>
    </w:p>
    <w:p w:rsidR="000668CB" w:rsidRDefault="000668CB" w:rsidP="000668CB">
      <w:pPr>
        <w:autoSpaceDE w:val="0"/>
        <w:autoSpaceDN w:val="0"/>
        <w:jc w:val="both"/>
        <w:rPr>
          <w:rFonts w:ascii="Arial" w:hAnsi="Arial" w:cs="Arial"/>
        </w:rPr>
      </w:pPr>
    </w:p>
    <w:p w:rsidR="000668CB" w:rsidRDefault="000668CB" w:rsidP="00A67E0C">
      <w:pPr>
        <w:autoSpaceDE w:val="0"/>
        <w:autoSpaceDN w:val="0"/>
        <w:jc w:val="center"/>
        <w:rPr>
          <w:rFonts w:ascii="Arial" w:hAnsi="Arial" w:cs="Arial"/>
        </w:rPr>
      </w:pPr>
      <w:r w:rsidRPr="000668CB">
        <w:rPr>
          <w:rFonts w:ascii="Arial" w:hAnsi="Arial" w:cs="Arial"/>
        </w:rPr>
        <w:drawing>
          <wp:inline distT="0" distB="0" distL="0" distR="0" wp14:anchorId="4FF28E69" wp14:editId="4A8FBD96">
            <wp:extent cx="4342957" cy="1679276"/>
            <wp:effectExtent l="133350" t="114300" r="133985" b="168910"/>
            <wp:docPr id="12500522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005220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30422" cy="171309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0668CB" w:rsidRDefault="000668CB" w:rsidP="000668CB">
      <w:pPr>
        <w:autoSpaceDE w:val="0"/>
        <w:autoSpaceDN w:val="0"/>
        <w:jc w:val="both"/>
        <w:rPr>
          <w:rFonts w:ascii="Arial" w:hAnsi="Arial" w:cs="Arial"/>
        </w:rPr>
      </w:pPr>
    </w:p>
    <w:p w:rsidR="000668CB" w:rsidRDefault="000668CB" w:rsidP="000668CB">
      <w:pPr>
        <w:autoSpaceDE w:val="0"/>
        <w:autoSpaceDN w:val="0"/>
        <w:jc w:val="both"/>
        <w:rPr>
          <w:rFonts w:ascii="Arial" w:hAnsi="Arial" w:cs="Arial"/>
        </w:rPr>
      </w:pPr>
    </w:p>
    <w:p w:rsidR="000668CB" w:rsidRDefault="000668CB" w:rsidP="00A67E0C">
      <w:pPr>
        <w:autoSpaceDE w:val="0"/>
        <w:autoSpaceDN w:val="0"/>
        <w:jc w:val="center"/>
        <w:rPr>
          <w:rFonts w:ascii="Arial" w:hAnsi="Arial" w:cs="Arial"/>
        </w:rPr>
      </w:pPr>
      <w:r w:rsidRPr="000668CB">
        <w:rPr>
          <w:rFonts w:ascii="Arial" w:hAnsi="Arial" w:cs="Arial"/>
        </w:rPr>
        <w:drawing>
          <wp:inline distT="0" distB="0" distL="0" distR="0" wp14:anchorId="3EC22C46" wp14:editId="415A7088">
            <wp:extent cx="4247264" cy="1642275"/>
            <wp:effectExtent l="152400" t="114300" r="134620" b="167640"/>
            <wp:docPr id="3740923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409233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95085" cy="166076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0668CB" w:rsidRPr="000668CB" w:rsidRDefault="000668CB" w:rsidP="000668CB">
      <w:pPr>
        <w:autoSpaceDE w:val="0"/>
        <w:autoSpaceDN w:val="0"/>
        <w:jc w:val="both"/>
        <w:rPr>
          <w:rFonts w:ascii="Arial" w:hAnsi="Arial" w:cs="Arial"/>
        </w:rPr>
      </w:pPr>
    </w:p>
    <w:p w:rsidR="00C3568A" w:rsidRDefault="00C3568A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the procedure for each child and verify the correct child information appears on the cover page</w:t>
      </w:r>
    </w:p>
    <w:p w:rsid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:rsidR="00A67E0C" w:rsidRDefault="00A67E0C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:rsidR="00A67E0C" w:rsidRPr="001C10A9" w:rsidRDefault="00A67E0C" w:rsidP="00A67E0C">
      <w:pPr>
        <w:pStyle w:val="ListParagraph"/>
        <w:autoSpaceDE w:val="0"/>
        <w:autoSpaceDN w:val="0"/>
        <w:ind w:left="360"/>
        <w:jc w:val="center"/>
        <w:rPr>
          <w:rFonts w:ascii="Arial" w:hAnsi="Arial" w:cs="Arial"/>
        </w:rPr>
      </w:pPr>
      <w:r w:rsidRPr="00A67E0C">
        <w:rPr>
          <w:rFonts w:ascii="Arial" w:hAnsi="Arial" w:cs="Arial"/>
        </w:rPr>
        <w:drawing>
          <wp:inline distT="0" distB="0" distL="0" distR="0" wp14:anchorId="24D20170" wp14:editId="0E97A5AF">
            <wp:extent cx="4927205" cy="5148817"/>
            <wp:effectExtent l="133350" t="114300" r="140335" b="166370"/>
            <wp:docPr id="10211505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115055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959464" cy="518252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2D25CF9"/>
    <w:multiLevelType w:val="hybridMultilevel"/>
    <w:tmpl w:val="FDCE86A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1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23"/>
  </w:num>
  <w:num w:numId="5" w16cid:durableId="840319615">
    <w:abstractNumId w:val="15"/>
  </w:num>
  <w:num w:numId="6" w16cid:durableId="908198473">
    <w:abstractNumId w:val="18"/>
  </w:num>
  <w:num w:numId="7" w16cid:durableId="1424765794">
    <w:abstractNumId w:val="20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6"/>
  </w:num>
  <w:num w:numId="19" w16cid:durableId="1646349021">
    <w:abstractNumId w:val="17"/>
  </w:num>
  <w:num w:numId="20" w16cid:durableId="1739669261">
    <w:abstractNumId w:val="22"/>
  </w:num>
  <w:num w:numId="21" w16cid:durableId="1471629659">
    <w:abstractNumId w:val="19"/>
  </w:num>
  <w:num w:numId="22" w16cid:durableId="196427496">
    <w:abstractNumId w:val="13"/>
  </w:num>
  <w:num w:numId="23" w16cid:durableId="290289706">
    <w:abstractNumId w:val="24"/>
  </w:num>
  <w:num w:numId="24" w16cid:durableId="1955668316">
    <w:abstractNumId w:val="10"/>
  </w:num>
  <w:num w:numId="25" w16cid:durableId="74634303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668CB"/>
    <w:rsid w:val="001A2710"/>
    <w:rsid w:val="001C10A9"/>
    <w:rsid w:val="002733EA"/>
    <w:rsid w:val="00315EEE"/>
    <w:rsid w:val="003A1B4D"/>
    <w:rsid w:val="004F43F9"/>
    <w:rsid w:val="005819AF"/>
    <w:rsid w:val="00645252"/>
    <w:rsid w:val="006C7BAB"/>
    <w:rsid w:val="006D3D74"/>
    <w:rsid w:val="007A72E2"/>
    <w:rsid w:val="0083569A"/>
    <w:rsid w:val="00981F98"/>
    <w:rsid w:val="009A6278"/>
    <w:rsid w:val="009D476B"/>
    <w:rsid w:val="00A151F9"/>
    <w:rsid w:val="00A17024"/>
    <w:rsid w:val="00A2666C"/>
    <w:rsid w:val="00A67E0C"/>
    <w:rsid w:val="00A80E10"/>
    <w:rsid w:val="00A9204E"/>
    <w:rsid w:val="00AF6840"/>
    <w:rsid w:val="00BB28FE"/>
    <w:rsid w:val="00C3568A"/>
    <w:rsid w:val="00C46379"/>
    <w:rsid w:val="00CA2BF3"/>
    <w:rsid w:val="00D05B6B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D6489B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149</TotalTime>
  <Pages>3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12</cp:revision>
  <dcterms:created xsi:type="dcterms:W3CDTF">2024-05-24T18:18:00Z</dcterms:created>
  <dcterms:modified xsi:type="dcterms:W3CDTF">2025-05-22T18:57:00Z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